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7" w:name="X249814ddc987c586ab4a824e30606e8d7023265"/>
    <w:p>
      <w:pPr>
        <w:pStyle w:val="Heading1"/>
      </w:pPr>
      <w:r>
        <w:t xml:space="preserve">KARTA UŻYTKOWANIA I PIELĘGNACJI FRONTÓW MEBLOWYCH</w:t>
      </w:r>
    </w:p>
    <w:p>
      <w:pPr>
        <w:pStyle w:val="FirstParagraph"/>
      </w:pPr>
      <w:r>
        <w:t xml:space="preserve">Instrukcja dołączana do frontów. Prosimy zachować ją przez cały okres użytkowania mebli.</w:t>
      </w:r>
    </w:p>
    <w:bookmarkStart w:id="20" w:name="przeznaczenie-frontów"/>
    <w:p>
      <w:pPr>
        <w:pStyle w:val="Heading2"/>
      </w:pPr>
      <w:r>
        <w:t xml:space="preserve">1. Przeznaczenie frontów</w:t>
      </w:r>
    </w:p>
    <w:p>
      <w:pPr>
        <w:pStyle w:val="FirstParagraph"/>
      </w:pPr>
      <w:r>
        <w:t xml:space="preserve">Fronty meblowe są przeznaczone do standardowego użytkowania wewnętrznego w pomieszczeniach suchych, wentylowanych i eksploatowanych zgodnie z zasadami prawidłowego użytkowania mebli.</w:t>
      </w:r>
    </w:p>
    <w:p>
      <w:pPr>
        <w:pStyle w:val="BodyText"/>
      </w:pPr>
      <w:r>
        <w:t xml:space="preserve">Trwałość frontów zależy nie tylko od jakości materiału i wykonania, ale również od wilgotności, temperatury, wentylacji, sposobu czyszczenia oraz bieżącego usuwania wody, pary wodnej, tłuszczu i zabrudzeń.</w:t>
      </w:r>
    </w:p>
    <w:bookmarkEnd w:id="20"/>
    <w:bookmarkStart w:id="21" w:name="najważniejsze-zasady-użytkowania"/>
    <w:p>
      <w:pPr>
        <w:pStyle w:val="Heading2"/>
      </w:pPr>
      <w:r>
        <w:t xml:space="preserve">2. Najważniejsze zasady użytkowania</w:t>
      </w:r>
    </w:p>
    <w:p>
      <w:pPr>
        <w:pStyle w:val="Compact"/>
        <w:numPr>
          <w:ilvl w:val="0"/>
          <w:numId w:val="1001"/>
        </w:numPr>
      </w:pPr>
      <w:r>
        <w:t xml:space="preserve">Wodę, parę wodną i inne płyny należy usuwać niezwłocznie, szczególnie z krawędzi, frezów, uchwytów i miejsc cięcia.</w:t>
      </w:r>
    </w:p>
    <w:p>
      <w:pPr>
        <w:pStyle w:val="Compact"/>
        <w:numPr>
          <w:ilvl w:val="0"/>
          <w:numId w:val="1001"/>
        </w:numPr>
      </w:pPr>
      <w:r>
        <w:t xml:space="preserve">Nie należy dopuszczać do długotrwałego zawilgocenia frontów ani pozostawiania mokrych zabrudzeń.</w:t>
      </w:r>
    </w:p>
    <w:p>
      <w:pPr>
        <w:pStyle w:val="Compact"/>
        <w:numPr>
          <w:ilvl w:val="0"/>
          <w:numId w:val="1001"/>
        </w:numPr>
      </w:pPr>
      <w:r>
        <w:t xml:space="preserve">Podczas gotowania należy używać okapu i zapewnić prawidłową wentylację pomieszczenia.</w:t>
      </w:r>
    </w:p>
    <w:p>
      <w:pPr>
        <w:pStyle w:val="Compact"/>
        <w:numPr>
          <w:ilvl w:val="0"/>
          <w:numId w:val="1001"/>
        </w:numPr>
      </w:pPr>
      <w:r>
        <w:t xml:space="preserve">Po pracy zmywarki nie należy pozostawiać jej szeroko otwartej przez długi czas, jeżeli para oddziałuje bezpośrednio na fronty.</w:t>
      </w:r>
    </w:p>
    <w:p>
      <w:pPr>
        <w:pStyle w:val="Compact"/>
        <w:numPr>
          <w:ilvl w:val="0"/>
          <w:numId w:val="1001"/>
        </w:numPr>
      </w:pPr>
      <w:r>
        <w:t xml:space="preserve">Czajnik, ekspres i inne urządzenia parujące nie powinny pracować bezpośrednio pod frontami lub przy ich krawędziach.</w:t>
      </w:r>
    </w:p>
    <w:p>
      <w:pPr>
        <w:pStyle w:val="Compact"/>
        <w:numPr>
          <w:ilvl w:val="0"/>
          <w:numId w:val="1001"/>
        </w:numPr>
      </w:pPr>
      <w:r>
        <w:t xml:space="preserve">Fronty należy chronić przed uderzeniami, zarysowaniami, punktowym naciskiem i długotrwałym działaniem wysokiej temperatury.</w:t>
      </w:r>
    </w:p>
    <w:bookmarkEnd w:id="21"/>
    <w:bookmarkStart w:id="22" w:name="czyszczenie-i-pielęgnacja"/>
    <w:p>
      <w:pPr>
        <w:pStyle w:val="Heading2"/>
      </w:pPr>
      <w:r>
        <w:t xml:space="preserve">3. Czyszczenie i pielęgnacja</w:t>
      </w:r>
    </w:p>
    <w:p>
      <w:pPr>
        <w:pStyle w:val="Compact"/>
        <w:numPr>
          <w:ilvl w:val="0"/>
          <w:numId w:val="1002"/>
        </w:numPr>
      </w:pPr>
      <w:r>
        <w:t xml:space="preserve">Do czyszczenia używać miękkiej, czystej i lekko wilgotnej ściereczki, najlepiej z mikrofibry.</w:t>
      </w:r>
    </w:p>
    <w:p>
      <w:pPr>
        <w:pStyle w:val="Compact"/>
        <w:numPr>
          <w:ilvl w:val="0"/>
          <w:numId w:val="1002"/>
        </w:numPr>
      </w:pPr>
      <w:r>
        <w:t xml:space="preserve">Dopuszcza się łagodne środki przeznaczone do powierzchni meblowych, stosowane zgodnie z zaleceniami producenta.</w:t>
      </w:r>
    </w:p>
    <w:p>
      <w:pPr>
        <w:pStyle w:val="Compact"/>
        <w:numPr>
          <w:ilvl w:val="0"/>
          <w:numId w:val="1002"/>
        </w:numPr>
      </w:pPr>
      <w:r>
        <w:t xml:space="preserve">Po czyszczeniu fronty należy wytrzeć do sucha miękką ściereczką.</w:t>
      </w:r>
    </w:p>
    <w:p>
      <w:pPr>
        <w:pStyle w:val="Compact"/>
        <w:numPr>
          <w:ilvl w:val="0"/>
          <w:numId w:val="1002"/>
        </w:numPr>
      </w:pPr>
      <w:r>
        <w:t xml:space="preserve">Nie stosować mleczek i proszków czyszczących, druciaków, ostrych gąbek, szczotek, rozpuszczalników, acetonu, alkoholu technicznego, chloru, amoniaku, środków żrących ani myjek parowych.</w:t>
      </w:r>
    </w:p>
    <w:bookmarkEnd w:id="22"/>
    <w:bookmarkStart w:id="23" w:name="X1d2becb8c1a6bcec970a7352cffecb3884c3a0c"/>
    <w:p>
      <w:pPr>
        <w:pStyle w:val="Heading2"/>
      </w:pPr>
      <w:r>
        <w:t xml:space="preserve">4. Powierzchnie akrylowe, velvet, supermat, matowe i połyskowe</w:t>
      </w:r>
    </w:p>
    <w:p>
      <w:pPr>
        <w:pStyle w:val="FirstParagraph"/>
      </w:pPr>
      <w:r>
        <w:t xml:space="preserve">Fronty o powierzchniach akrylowych, velvet, supermat, matowych oraz wysokopołyskowych wymagają szczególnie ostrożnej pielęgnacji. Tego typu powierzchnie mogą być bardziej podatne na widoczne ślady tarcia, mikrozarysowania, wybłyszczenia, odciski, smugi oraz uszkodzenia powstałe wskutek niewłaściwego czyszczenia.</w:t>
      </w:r>
    </w:p>
    <w:p>
      <w:pPr>
        <w:pStyle w:val="BodyText"/>
      </w:pPr>
      <w:r>
        <w:t xml:space="preserve">Nie należy mocno pocierać powierzchni, szczególnie na sucho. Zabrudzenia powinny być usuwane delikatnie, bez użycia środków ściernych, agresywnej chemii, alkoholu, acetonu, rozpuszczalników, szorstkich gąbek ani myjek parowych.</w:t>
      </w:r>
    </w:p>
    <w:bookmarkEnd w:id="23"/>
    <w:bookmarkStart w:id="24" w:name="strefy-szczególnej-ostrożności"/>
    <w:p>
      <w:pPr>
        <w:pStyle w:val="Heading2"/>
      </w:pPr>
      <w:r>
        <w:t xml:space="preserve">5. Strefy szczególnej ostrożności</w:t>
      </w:r>
    </w:p>
    <w:p>
      <w:pPr>
        <w:pStyle w:val="FirstParagraph"/>
      </w:pPr>
      <w:r>
        <w:t xml:space="preserve">Szczególnej ochrony wymagają fronty zamontowane przy zlewie, zmywarce, piekarniku, płycie grzewczej, okapie, grzejniku, ociekaczu, czajniku, ekspresie do kawy oraz w małych lub słabo wentylowanych pomieszczeniach.</w:t>
      </w:r>
    </w:p>
    <w:p>
      <w:pPr>
        <w:pStyle w:val="BodyText"/>
      </w:pPr>
      <w:r>
        <w:t xml:space="preserve">W tych miejscach należy regularnie usuwać wilgoć, parę, tłuszcz i zabrudzenia oraz unikać długotrwałego oddziaływania ciepła i wilgoci na krawędzie frontów.</w:t>
      </w:r>
    </w:p>
    <w:bookmarkEnd w:id="24"/>
    <w:bookmarkStart w:id="25" w:name="czego-fronty-nie-tolerują"/>
    <w:p>
      <w:pPr>
        <w:pStyle w:val="Heading2"/>
      </w:pPr>
      <w:r>
        <w:t xml:space="preserve">6. Czego fronty nie tolerują</w:t>
      </w:r>
    </w:p>
    <w:p>
      <w:pPr>
        <w:pStyle w:val="Compact"/>
        <w:numPr>
          <w:ilvl w:val="0"/>
          <w:numId w:val="1003"/>
        </w:numPr>
      </w:pPr>
      <w:r>
        <w:t xml:space="preserve">Stałego kontaktu z wodą, wilgocią i parą wodną.</w:t>
      </w:r>
    </w:p>
    <w:p>
      <w:pPr>
        <w:pStyle w:val="Compact"/>
        <w:numPr>
          <w:ilvl w:val="0"/>
          <w:numId w:val="1003"/>
        </w:numPr>
      </w:pPr>
      <w:r>
        <w:t xml:space="preserve">Długotrwałego działania wysokiej temperatury.</w:t>
      </w:r>
    </w:p>
    <w:p>
      <w:pPr>
        <w:pStyle w:val="Compact"/>
        <w:numPr>
          <w:ilvl w:val="0"/>
          <w:numId w:val="1003"/>
        </w:numPr>
      </w:pPr>
      <w:r>
        <w:t xml:space="preserve">Agresywnej chemii, środków ściernych i czyszczenia parą.</w:t>
      </w:r>
    </w:p>
    <w:p>
      <w:pPr>
        <w:pStyle w:val="Compact"/>
        <w:numPr>
          <w:ilvl w:val="0"/>
          <w:numId w:val="1003"/>
        </w:numPr>
      </w:pPr>
      <w:r>
        <w:t xml:space="preserve">Braku wentylacji, zalegania tłuszczu i długotrwałego zabrudzenia.</w:t>
      </w:r>
    </w:p>
    <w:p>
      <w:pPr>
        <w:pStyle w:val="Compact"/>
        <w:numPr>
          <w:ilvl w:val="0"/>
          <w:numId w:val="1003"/>
        </w:numPr>
      </w:pPr>
      <w:r>
        <w:t xml:space="preserve">Uderzeń, zarysowań, zalania krawędzi i użytkowania niezgodnego z przeznaczeniem.</w:t>
      </w:r>
    </w:p>
    <w:bookmarkEnd w:id="25"/>
    <w:bookmarkStart w:id="26" w:name="zgłoszenie-nieprawidłowości"/>
    <w:p>
      <w:pPr>
        <w:pStyle w:val="Heading2"/>
      </w:pPr>
      <w:r>
        <w:t xml:space="preserve">7. Zgłoszenie nieprawidłowości</w:t>
      </w:r>
    </w:p>
    <w:p>
      <w:pPr>
        <w:pStyle w:val="FirstParagraph"/>
      </w:pPr>
      <w:r>
        <w:t xml:space="preserve">W razie zauważenia nieprawidłowości należy niezwłocznie zgłosić problem sprzedawcy lub wykonawcy. Do zgłoszenia warto dołączyć zdjęcia całych frontów, zbliżenia uszkodzeń, zdjęcia miejsca montażu oraz informację o stosowanych środkach czyszczących.</w:t>
      </w:r>
    </w:p>
    <w:p>
      <w:pPr>
        <w:pStyle w:val="BodyText"/>
      </w:pPr>
      <w:r>
        <w:t xml:space="preserve">Charakter uszkodzeń, ich lokalizacja oraz warunki użytkowania będą brane pod uwagę przy ocenie zgłoszenia.</w:t>
      </w:r>
    </w:p>
    <w:p>
      <w:pPr>
        <w:pStyle w:val="BodyText"/>
      </w:pPr>
      <w:r>
        <w:rPr>
          <w:b/>
          <w:bCs/>
        </w:rPr>
        <w:t xml:space="preserve">Uszkodzenia powstałe wskutek niewłaściwego użytkowania, długotrwałego działania wilgoci, pary wodnej, wysokiej temperatury, agresywnych środków czyszczących, uszkodzeń mechanicznych lub użytkowania niezgodnego z niniejszą instrukcją mogą nie stanowić podstawy do uznania reklamacji.</w:t>
      </w:r>
    </w:p>
    <w:p>
      <w:pPr>
        <w:pStyle w:val="BodyText"/>
      </w:pPr>
      <w:r>
        <w:t xml:space="preserve">Instrukcja ma charakter ogólny. Jeżeli producent danego materiału przekazał dodatkowe zalecenia, należy stosować je łącznie z niniejszą kartą.</w:t>
      </w:r>
    </w:p>
    <w:bookmarkEnd w:id="26"/>
    <w:bookmarkEnd w:id="27"/>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pacing w:val="-10"/>
      <w:kern w:val="28"/>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pacing w:val="-10"/>
      <w:kern w:val="28"/>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2026-06-22T06:54:49Z</dcterms:created>
  <dcterms:modified xsi:type="dcterms:W3CDTF">2026-06-22T06:54:49Z</dcterms:modified>
</cp:coreProperties>
</file>

<file path=docProps/custom.xml><?xml version="1.0" encoding="utf-8"?>
<Properties xmlns="http://schemas.openxmlformats.org/officeDocument/2006/custom-properties" xmlns:vt="http://schemas.openxmlformats.org/officeDocument/2006/docPropsVTypes"/>
</file>